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spacing w:before="9"/>
        <w:rPr>
          <w:rFonts w:ascii="Times New Roman"/>
          <w:sz w:val="27"/>
        </w:rPr>
      </w:pPr>
    </w:p>
    <w:p>
      <w:pPr>
        <w:pStyle w:val="Title"/>
      </w:pPr>
      <w:r>
        <w:rPr>
          <w:color w:val="006BA6"/>
        </w:rPr>
        <w:t>Les tampons pour charges Lourdes deviennent légers</w:t>
      </w:r>
    </w:p>
    <w:p>
      <w:pPr>
        <w:pStyle w:val="BodyText"/>
        <w:rPr>
          <w:b/>
          <w:sz w:val="20"/>
        </w:rPr>
      </w:pPr>
    </w:p>
    <w:p>
      <w:pPr>
        <w:pStyle w:val="BodyText"/>
        <w:spacing w:before="1"/>
        <w:rPr>
          <w:b/>
          <w:sz w:val="14"/>
        </w:rPr>
      </w:pPr>
      <w:r>
        <w:rPr/>
        <w:drawing>
          <wp:anchor distT="0" distB="0" distL="0" distR="0" allowOverlap="1" layoutInCell="1" locked="0" behindDoc="0" simplePos="0" relativeHeight="0">
            <wp:simplePos x="0" y="0"/>
            <wp:positionH relativeFrom="page">
              <wp:posOffset>914400</wp:posOffset>
            </wp:positionH>
            <wp:positionV relativeFrom="paragraph">
              <wp:posOffset>137891</wp:posOffset>
            </wp:positionV>
            <wp:extent cx="2704164" cy="2028444"/>
            <wp:effectExtent l="0" t="0" r="0" b="0"/>
            <wp:wrapTopAndBottom/>
            <wp:docPr id="3" name="image2.jpeg"/>
            <wp:cNvGraphicFramePr>
              <a:graphicFrameLocks noChangeAspect="1"/>
            </wp:cNvGraphicFramePr>
            <a:graphic>
              <a:graphicData uri="http://schemas.openxmlformats.org/drawingml/2006/picture">
                <pic:pic>
                  <pic:nvPicPr>
                    <pic:cNvPr id="4" name="image2.jpeg"/>
                    <pic:cNvPicPr/>
                  </pic:nvPicPr>
                  <pic:blipFill>
                    <a:blip r:embed="rId7" cstate="print"/>
                    <a:stretch>
                      <a:fillRect/>
                    </a:stretch>
                  </pic:blipFill>
                  <pic:spPr>
                    <a:xfrm>
                      <a:off x="0" y="0"/>
                      <a:ext cx="2704164" cy="2028444"/>
                    </a:xfrm>
                    <a:prstGeom prst="rect">
                      <a:avLst/>
                    </a:prstGeom>
                  </pic:spPr>
                </pic:pic>
              </a:graphicData>
            </a:graphic>
          </wp:anchor>
        </w:drawing>
      </w:r>
      <w:r>
        <w:rPr/>
        <w:drawing>
          <wp:anchor distT="0" distB="0" distL="0" distR="0" allowOverlap="1" layoutInCell="1" locked="0" behindDoc="0" simplePos="0" relativeHeight="1">
            <wp:simplePos x="0" y="0"/>
            <wp:positionH relativeFrom="page">
              <wp:posOffset>3952875</wp:posOffset>
            </wp:positionH>
            <wp:positionV relativeFrom="paragraph">
              <wp:posOffset>134081</wp:posOffset>
            </wp:positionV>
            <wp:extent cx="2698961" cy="2024252"/>
            <wp:effectExtent l="0" t="0" r="0" b="0"/>
            <wp:wrapTopAndBottom/>
            <wp:docPr id="5" name="image3.jpeg"/>
            <wp:cNvGraphicFramePr>
              <a:graphicFrameLocks noChangeAspect="1"/>
            </wp:cNvGraphicFramePr>
            <a:graphic>
              <a:graphicData uri="http://schemas.openxmlformats.org/drawingml/2006/picture">
                <pic:pic>
                  <pic:nvPicPr>
                    <pic:cNvPr id="6" name="image3.jpeg"/>
                    <pic:cNvPicPr/>
                  </pic:nvPicPr>
                  <pic:blipFill>
                    <a:blip r:embed="rId8" cstate="print"/>
                    <a:stretch>
                      <a:fillRect/>
                    </a:stretch>
                  </pic:blipFill>
                  <pic:spPr>
                    <a:xfrm>
                      <a:off x="0" y="0"/>
                      <a:ext cx="2698961" cy="2024252"/>
                    </a:xfrm>
                    <a:prstGeom prst="rect">
                      <a:avLst/>
                    </a:prstGeom>
                  </pic:spPr>
                </pic:pic>
              </a:graphicData>
            </a:graphic>
          </wp:anchor>
        </w:drawing>
      </w:r>
    </w:p>
    <w:p>
      <w:pPr>
        <w:pStyle w:val="BodyText"/>
        <w:spacing w:before="10"/>
        <w:rPr>
          <w:b/>
          <w:sz w:val="8"/>
        </w:rPr>
      </w:pPr>
    </w:p>
    <w:p>
      <w:pPr>
        <w:spacing w:before="56"/>
        <w:ind w:left="1199" w:right="1137" w:firstLine="0"/>
        <w:jc w:val="center"/>
        <w:rPr>
          <w:i/>
          <w:sz w:val="22"/>
        </w:rPr>
      </w:pPr>
      <w:r>
        <w:rPr>
          <w:i/>
          <w:sz w:val="22"/>
        </w:rPr>
        <w:t>Port de Felixstowe, UK, avant et après l’installation de tampons en composite</w:t>
      </w:r>
    </w:p>
    <w:p>
      <w:pPr>
        <w:pStyle w:val="BodyText"/>
        <w:spacing w:before="4"/>
        <w:rPr>
          <w:i/>
          <w:sz w:val="27"/>
        </w:rPr>
      </w:pPr>
    </w:p>
    <w:p>
      <w:pPr>
        <w:pStyle w:val="Heading1"/>
        <w:spacing w:line="360" w:lineRule="auto" w:before="51"/>
        <w:ind w:right="113"/>
      </w:pPr>
      <w:r>
        <w:rPr/>
        <w:t>Les tampons et couvertures conventionnels pour charges élevées sont lourds, sujet à la corrosion et difficiles à enlever et à repositionner. La question à laquelle sont confrontés les architectes et les bureaux d’études est de savoir comment conserver l’accessibilité et la résistance tout en améliorant la manutention, la durabilité et la performance.</w:t>
      </w:r>
    </w:p>
    <w:p>
      <w:pPr>
        <w:pStyle w:val="BodyText"/>
        <w:spacing w:before="11"/>
        <w:rPr>
          <w:b/>
          <w:sz w:val="35"/>
        </w:rPr>
      </w:pPr>
    </w:p>
    <w:p>
      <w:pPr>
        <w:pStyle w:val="BodyText"/>
        <w:spacing w:line="360" w:lineRule="auto" w:before="1"/>
        <w:ind w:left="100" w:right="116"/>
        <w:jc w:val="both"/>
      </w:pPr>
      <w:r>
        <w:rPr/>
        <w:t>Des couvertures d’accès et des couvercles de trou d’homme aux couvertures de tranchées, l’acier</w:t>
      </w:r>
      <w:r>
        <w:rPr>
          <w:spacing w:val="-6"/>
        </w:rPr>
        <w:t> </w:t>
      </w:r>
      <w:r>
        <w:rPr/>
        <w:t>et</w:t>
      </w:r>
      <w:r>
        <w:rPr>
          <w:spacing w:val="-7"/>
        </w:rPr>
        <w:t> </w:t>
      </w:r>
      <w:r>
        <w:rPr/>
        <w:t>le</w:t>
      </w:r>
      <w:r>
        <w:rPr>
          <w:spacing w:val="-8"/>
        </w:rPr>
        <w:t> </w:t>
      </w:r>
      <w:r>
        <w:rPr/>
        <w:t>béton</w:t>
      </w:r>
      <w:r>
        <w:rPr>
          <w:spacing w:val="-7"/>
        </w:rPr>
        <w:t> </w:t>
      </w:r>
      <w:r>
        <w:rPr/>
        <w:t>ont</w:t>
      </w:r>
      <w:r>
        <w:rPr>
          <w:spacing w:val="-6"/>
        </w:rPr>
        <w:t> </w:t>
      </w:r>
      <w:r>
        <w:rPr/>
        <w:t>toujours</w:t>
      </w:r>
      <w:r>
        <w:rPr>
          <w:spacing w:val="-9"/>
        </w:rPr>
        <w:t> </w:t>
      </w:r>
      <w:r>
        <w:rPr/>
        <w:t>été</w:t>
      </w:r>
      <w:r>
        <w:rPr>
          <w:spacing w:val="-5"/>
        </w:rPr>
        <w:t> </w:t>
      </w:r>
      <w:r>
        <w:rPr/>
        <w:t>les</w:t>
      </w:r>
      <w:r>
        <w:rPr>
          <w:spacing w:val="-6"/>
        </w:rPr>
        <w:t> </w:t>
      </w:r>
      <w:r>
        <w:rPr/>
        <w:t>matériaux</w:t>
      </w:r>
      <w:r>
        <w:rPr>
          <w:spacing w:val="-8"/>
        </w:rPr>
        <w:t> </w:t>
      </w:r>
      <w:r>
        <w:rPr/>
        <w:t>les</w:t>
      </w:r>
      <w:r>
        <w:rPr>
          <w:spacing w:val="-6"/>
        </w:rPr>
        <w:t> </w:t>
      </w:r>
      <w:r>
        <w:rPr/>
        <w:t>plus</w:t>
      </w:r>
      <w:r>
        <w:rPr>
          <w:spacing w:val="-8"/>
        </w:rPr>
        <w:t> </w:t>
      </w:r>
      <w:r>
        <w:rPr/>
        <w:t>usités</w:t>
      </w:r>
      <w:r>
        <w:rPr>
          <w:spacing w:val="-6"/>
        </w:rPr>
        <w:t> </w:t>
      </w:r>
      <w:r>
        <w:rPr/>
        <w:t>sur</w:t>
      </w:r>
      <w:r>
        <w:rPr>
          <w:spacing w:val="-8"/>
        </w:rPr>
        <w:t> </w:t>
      </w:r>
      <w:r>
        <w:rPr/>
        <w:t>le</w:t>
      </w:r>
      <w:r>
        <w:rPr>
          <w:spacing w:val="-5"/>
        </w:rPr>
        <w:t> </w:t>
      </w:r>
      <w:r>
        <w:rPr/>
        <w:t>marché.</w:t>
      </w:r>
      <w:r>
        <w:rPr>
          <w:spacing w:val="-6"/>
        </w:rPr>
        <w:t> </w:t>
      </w:r>
      <w:r>
        <w:rPr/>
        <w:t>Cependant,</w:t>
      </w:r>
      <w:r>
        <w:rPr>
          <w:spacing w:val="-9"/>
        </w:rPr>
        <w:t> </w:t>
      </w:r>
      <w:r>
        <w:rPr/>
        <w:t>ces options</w:t>
      </w:r>
      <w:r>
        <w:rPr>
          <w:spacing w:val="-12"/>
        </w:rPr>
        <w:t> </w:t>
      </w:r>
      <w:r>
        <w:rPr/>
        <w:t>sont</w:t>
      </w:r>
      <w:r>
        <w:rPr>
          <w:spacing w:val="-11"/>
        </w:rPr>
        <w:t> </w:t>
      </w:r>
      <w:r>
        <w:rPr/>
        <w:t>souvent</w:t>
      </w:r>
      <w:r>
        <w:rPr>
          <w:spacing w:val="-10"/>
        </w:rPr>
        <w:t> </w:t>
      </w:r>
      <w:r>
        <w:rPr/>
        <w:t>lourdes</w:t>
      </w:r>
      <w:r>
        <w:rPr>
          <w:spacing w:val="-12"/>
        </w:rPr>
        <w:t> </w:t>
      </w:r>
      <w:r>
        <w:rPr/>
        <w:t>à</w:t>
      </w:r>
      <w:r>
        <w:rPr>
          <w:spacing w:val="-11"/>
        </w:rPr>
        <w:t> </w:t>
      </w:r>
      <w:r>
        <w:rPr/>
        <w:t>soulever</w:t>
      </w:r>
      <w:r>
        <w:rPr>
          <w:spacing w:val="-14"/>
        </w:rPr>
        <w:t> </w:t>
      </w:r>
      <w:r>
        <w:rPr/>
        <w:t>et</w:t>
      </w:r>
      <w:r>
        <w:rPr>
          <w:spacing w:val="-10"/>
        </w:rPr>
        <w:t> </w:t>
      </w:r>
      <w:r>
        <w:rPr/>
        <w:t>se</w:t>
      </w:r>
      <w:r>
        <w:rPr>
          <w:spacing w:val="-12"/>
        </w:rPr>
        <w:t> </w:t>
      </w:r>
      <w:r>
        <w:rPr/>
        <w:t>corrodent</w:t>
      </w:r>
      <w:r>
        <w:rPr>
          <w:spacing w:val="-13"/>
        </w:rPr>
        <w:t> </w:t>
      </w:r>
      <w:r>
        <w:rPr/>
        <w:t>facilement</w:t>
      </w:r>
      <w:r>
        <w:rPr>
          <w:spacing w:val="-7"/>
        </w:rPr>
        <w:t> </w:t>
      </w:r>
      <w:r>
        <w:rPr/>
        <w:t>–</w:t>
      </w:r>
      <w:r>
        <w:rPr>
          <w:spacing w:val="-13"/>
        </w:rPr>
        <w:t> </w:t>
      </w:r>
      <w:r>
        <w:rPr/>
        <w:t>nécessitant</w:t>
      </w:r>
      <w:r>
        <w:rPr>
          <w:spacing w:val="-13"/>
        </w:rPr>
        <w:t> </w:t>
      </w:r>
      <w:r>
        <w:rPr/>
        <w:t>un</w:t>
      </w:r>
      <w:r>
        <w:rPr>
          <w:spacing w:val="-10"/>
        </w:rPr>
        <w:t> </w:t>
      </w:r>
      <w:r>
        <w:rPr/>
        <w:t>entretien régulier.</w:t>
      </w:r>
    </w:p>
    <w:p>
      <w:pPr>
        <w:pStyle w:val="BodyText"/>
      </w:pPr>
    </w:p>
    <w:p>
      <w:pPr>
        <w:pStyle w:val="BodyText"/>
        <w:spacing w:line="360" w:lineRule="auto" w:before="148"/>
        <w:ind w:left="100" w:right="117"/>
        <w:jc w:val="both"/>
      </w:pPr>
      <w:r>
        <w:rPr/>
        <w:t>Pour</w:t>
      </w:r>
      <w:r>
        <w:rPr>
          <w:spacing w:val="-14"/>
        </w:rPr>
        <w:t> </w:t>
      </w:r>
      <w:r>
        <w:rPr/>
        <w:t>relever</w:t>
      </w:r>
      <w:r>
        <w:rPr>
          <w:spacing w:val="-11"/>
        </w:rPr>
        <w:t> </w:t>
      </w:r>
      <w:r>
        <w:rPr/>
        <w:t>les</w:t>
      </w:r>
      <w:r>
        <w:rPr>
          <w:spacing w:val="-14"/>
        </w:rPr>
        <w:t> </w:t>
      </w:r>
      <w:r>
        <w:rPr/>
        <w:t>défis</w:t>
      </w:r>
      <w:r>
        <w:rPr>
          <w:spacing w:val="-14"/>
        </w:rPr>
        <w:t> </w:t>
      </w:r>
      <w:r>
        <w:rPr/>
        <w:t>de</w:t>
      </w:r>
      <w:r>
        <w:rPr>
          <w:spacing w:val="-13"/>
        </w:rPr>
        <w:t> </w:t>
      </w:r>
      <w:r>
        <w:rPr/>
        <w:t>la</w:t>
      </w:r>
      <w:r>
        <w:rPr>
          <w:spacing w:val="-12"/>
        </w:rPr>
        <w:t> </w:t>
      </w:r>
      <w:r>
        <w:rPr/>
        <w:t>construction</w:t>
      </w:r>
      <w:r>
        <w:rPr>
          <w:spacing w:val="-12"/>
        </w:rPr>
        <w:t> </w:t>
      </w:r>
      <w:r>
        <w:rPr/>
        <w:t>moderne,</w:t>
      </w:r>
      <w:r>
        <w:rPr>
          <w:spacing w:val="-16"/>
        </w:rPr>
        <w:t> </w:t>
      </w:r>
      <w:r>
        <w:rPr/>
        <w:t>Fibrelite,</w:t>
      </w:r>
      <w:r>
        <w:rPr>
          <w:spacing w:val="-10"/>
        </w:rPr>
        <w:t> </w:t>
      </w:r>
      <w:r>
        <w:rPr/>
        <w:t>leader</w:t>
      </w:r>
      <w:r>
        <w:rPr>
          <w:spacing w:val="-12"/>
        </w:rPr>
        <w:t> </w:t>
      </w:r>
      <w:r>
        <w:rPr/>
        <w:t>mondial</w:t>
      </w:r>
      <w:r>
        <w:rPr>
          <w:spacing w:val="-13"/>
        </w:rPr>
        <w:t> </w:t>
      </w:r>
      <w:r>
        <w:rPr/>
        <w:t>dans</w:t>
      </w:r>
      <w:r>
        <w:rPr>
          <w:spacing w:val="-12"/>
        </w:rPr>
        <w:t> </w:t>
      </w:r>
      <w:r>
        <w:rPr/>
        <w:t>la</w:t>
      </w:r>
      <w:r>
        <w:rPr>
          <w:spacing w:val="-13"/>
        </w:rPr>
        <w:t> </w:t>
      </w:r>
      <w:r>
        <w:rPr/>
        <w:t>fabrication et le développement de tampons composites GRP et de couvertures de tranchées, a développé une solution ultra légère, mais ultra solide, qui peut être fabriquée pour correspondre à presque toutes les spécifications, taille, couleur ou</w:t>
      </w:r>
      <w:r>
        <w:rPr>
          <w:spacing w:val="-14"/>
        </w:rPr>
        <w:t> </w:t>
      </w:r>
      <w:r>
        <w:rPr/>
        <w:t>projet.</w:t>
      </w:r>
    </w:p>
    <w:p>
      <w:pPr>
        <w:spacing w:after="0" w:line="360" w:lineRule="auto"/>
        <w:jc w:val="both"/>
        <w:sectPr>
          <w:headerReference w:type="default" r:id="rId5"/>
          <w:footerReference w:type="default" r:id="rId6"/>
          <w:type w:val="continuous"/>
          <w:pgSz w:w="11910" w:h="16840"/>
          <w:pgMar w:header="756" w:footer="1000" w:top="3200" w:bottom="1200" w:left="1340" w:right="1320"/>
          <w:pgNumType w:start="1"/>
        </w:sectPr>
      </w:pPr>
    </w:p>
    <w:p>
      <w:pPr>
        <w:pStyle w:val="BodyText"/>
        <w:rPr>
          <w:sz w:val="20"/>
        </w:rPr>
      </w:pPr>
    </w:p>
    <w:p>
      <w:pPr>
        <w:pStyle w:val="BodyText"/>
        <w:rPr>
          <w:sz w:val="23"/>
        </w:rPr>
      </w:pPr>
    </w:p>
    <w:p>
      <w:pPr>
        <w:pStyle w:val="BodyText"/>
        <w:spacing w:line="360" w:lineRule="auto" w:before="51"/>
        <w:ind w:left="100" w:right="113"/>
        <w:jc w:val="both"/>
      </w:pPr>
      <w:r>
        <w:rPr/>
        <w:t>Avec un rapport résistance/poids inégalé, ce matériau composite GRP de haute qualité est nettement plus léger que le métal, tout aussi solide, et est devenue rapidement une alternative moderne et pertinente à l’acier et au béton traditionnels.</w:t>
      </w:r>
    </w:p>
    <w:p>
      <w:pPr>
        <w:pStyle w:val="BodyText"/>
      </w:pPr>
    </w:p>
    <w:p>
      <w:pPr>
        <w:pStyle w:val="BodyText"/>
        <w:spacing w:line="360" w:lineRule="auto" w:before="149"/>
        <w:ind w:left="100" w:right="113"/>
        <w:jc w:val="both"/>
      </w:pPr>
      <w:r>
        <w:rPr/>
        <w:t>Cette</w:t>
      </w:r>
      <w:r>
        <w:rPr>
          <w:spacing w:val="-9"/>
        </w:rPr>
        <w:t> </w:t>
      </w:r>
      <w:r>
        <w:rPr/>
        <w:t>percée</w:t>
      </w:r>
      <w:r>
        <w:rPr>
          <w:spacing w:val="-9"/>
        </w:rPr>
        <w:t> </w:t>
      </w:r>
      <w:r>
        <w:rPr/>
        <w:t>a</w:t>
      </w:r>
      <w:r>
        <w:rPr>
          <w:spacing w:val="-7"/>
        </w:rPr>
        <w:t> </w:t>
      </w:r>
      <w:r>
        <w:rPr/>
        <w:t>par</w:t>
      </w:r>
      <w:r>
        <w:rPr>
          <w:spacing w:val="-7"/>
        </w:rPr>
        <w:t> </w:t>
      </w:r>
      <w:r>
        <w:rPr/>
        <w:t>la</w:t>
      </w:r>
      <w:r>
        <w:rPr>
          <w:spacing w:val="-7"/>
        </w:rPr>
        <w:t> </w:t>
      </w:r>
      <w:r>
        <w:rPr/>
        <w:t>suite</w:t>
      </w:r>
      <w:r>
        <w:rPr>
          <w:spacing w:val="-6"/>
        </w:rPr>
        <w:t> </w:t>
      </w:r>
      <w:r>
        <w:rPr/>
        <w:t>conduit</w:t>
      </w:r>
      <w:r>
        <w:rPr>
          <w:spacing w:val="-6"/>
        </w:rPr>
        <w:t> </w:t>
      </w:r>
      <w:r>
        <w:rPr/>
        <w:t>au</w:t>
      </w:r>
      <w:r>
        <w:rPr>
          <w:spacing w:val="-6"/>
        </w:rPr>
        <w:t> </w:t>
      </w:r>
      <w:r>
        <w:rPr/>
        <w:t>développement</w:t>
      </w:r>
      <w:r>
        <w:rPr>
          <w:spacing w:val="-9"/>
        </w:rPr>
        <w:t> </w:t>
      </w:r>
      <w:r>
        <w:rPr/>
        <w:t>des</w:t>
      </w:r>
      <w:r>
        <w:rPr>
          <w:spacing w:val="-9"/>
        </w:rPr>
        <w:t> </w:t>
      </w:r>
      <w:r>
        <w:rPr/>
        <w:t>premières</w:t>
      </w:r>
      <w:r>
        <w:rPr>
          <w:spacing w:val="-7"/>
        </w:rPr>
        <w:t> </w:t>
      </w:r>
      <w:r>
        <w:rPr/>
        <w:t>couvertures</w:t>
      </w:r>
      <w:r>
        <w:rPr>
          <w:spacing w:val="-7"/>
        </w:rPr>
        <w:t> </w:t>
      </w:r>
      <w:r>
        <w:rPr/>
        <w:t>composites de charge extra lourdes F900 (90 tonnes) au port de Felixstowe, l’un des principaux ports commerciaux du</w:t>
      </w:r>
      <w:r>
        <w:rPr>
          <w:spacing w:val="-1"/>
        </w:rPr>
        <w:t> </w:t>
      </w:r>
      <w:r>
        <w:rPr/>
        <w:t>Royaume-Uni.</w:t>
      </w:r>
    </w:p>
    <w:p>
      <w:pPr>
        <w:pStyle w:val="BodyText"/>
        <w:spacing w:before="11"/>
        <w:rPr>
          <w:sz w:val="35"/>
        </w:rPr>
      </w:pPr>
    </w:p>
    <w:p>
      <w:pPr>
        <w:pStyle w:val="BodyText"/>
        <w:spacing w:line="360" w:lineRule="auto"/>
        <w:ind w:left="100" w:right="113"/>
        <w:jc w:val="both"/>
      </w:pPr>
      <w:r>
        <w:rPr/>
        <w:t>Conçues pour protéger les conduites d’eau douce utilisées pour alimenter les navires amarrés, les tampons d’origine devaient être enlevés et remplacés par une grue mobile chaque fois que l’accès était nécessaire. Alors qu’ils tiennent la même charge, les nouveaux couvercles composites Fibrelite peuvent être installés et enlevés en toute sécurité et facilement par une équipe de deux personnes seulement.</w:t>
      </w:r>
    </w:p>
    <w:p>
      <w:pPr>
        <w:pStyle w:val="BodyText"/>
      </w:pPr>
    </w:p>
    <w:p>
      <w:pPr>
        <w:pStyle w:val="BodyText"/>
        <w:spacing w:line="360" w:lineRule="auto" w:before="148"/>
        <w:ind w:left="100" w:right="113"/>
        <w:jc w:val="both"/>
      </w:pPr>
      <w:r>
        <w:rPr/>
        <w:t>De plus, contrairement aux alternatives conventionnelles en acier, les nouveaux tampons sont résistants à la corrosion du sel de mer – ce qui les rend extrêmement durables et sans entretien. Conçues, fabriquées et développées spécifiquement pour Felixstowe, ces couvertures sont codées en couleur pour désigner l’eau potable et ont été conçues pour s’insérer parfaitement dans les cadres existants avec des boulons de sécurité– offrant un ajustement sur mesure.</w:t>
      </w:r>
    </w:p>
    <w:p>
      <w:pPr>
        <w:spacing w:after="0" w:line="360" w:lineRule="auto"/>
        <w:jc w:val="both"/>
        <w:sectPr>
          <w:pgSz w:w="11910" w:h="16840"/>
          <w:pgMar w:header="756" w:footer="1000" w:top="3200" w:bottom="1200" w:left="1340" w:right="1320"/>
        </w:sectPr>
      </w:pPr>
    </w:p>
    <w:p>
      <w:pPr>
        <w:pStyle w:val="BodyText"/>
        <w:rPr>
          <w:sz w:val="20"/>
        </w:rPr>
      </w:pPr>
    </w:p>
    <w:p>
      <w:pPr>
        <w:pStyle w:val="BodyText"/>
        <w:rPr>
          <w:sz w:val="23"/>
        </w:rPr>
      </w:pPr>
    </w:p>
    <w:p>
      <w:pPr>
        <w:pStyle w:val="BodyText"/>
        <w:spacing w:line="360" w:lineRule="auto" w:before="51"/>
        <w:ind w:left="100" w:right="4729"/>
        <w:jc w:val="both"/>
      </w:pPr>
      <w:r>
        <w:rPr/>
        <w:pict>
          <v:group style="position:absolute;margin-left:301.5pt;margin-top:3.725791pt;width:222pt;height:209.2pt;mso-position-horizontal-relative:page;mso-position-vertical-relative:paragraph;z-index:15729664" coordorigin="6030,75" coordsize="4440,4184">
            <v:shape style="position:absolute;left:6033;top:74;width:4406;height:3900" type="#_x0000_t75" stroked="false">
              <v:imagedata r:id="rId9" o:title=""/>
            </v:shape>
            <v:rect style="position:absolute;left:6030;top:3493;width:4440;height:765" filled="true" fillcolor="#ffffff" stroked="false">
              <v:fill type="solid"/>
            </v:rect>
            <v:shape style="position:absolute;left:6030;top:74;width:4440;height:4184" type="#_x0000_t202" filled="false" stroked="false">
              <v:textbox inset="0,0,0,0">
                <w:txbxContent>
                  <w:p>
                    <w:pPr>
                      <w:spacing w:line="240" w:lineRule="auto" w:before="0"/>
                      <w:rPr>
                        <w:sz w:val="22"/>
                      </w:rPr>
                    </w:pPr>
                  </w:p>
                  <w:p>
                    <w:pPr>
                      <w:spacing w:line="240" w:lineRule="auto" w:before="0"/>
                      <w:rPr>
                        <w:sz w:val="22"/>
                      </w:rPr>
                    </w:pPr>
                  </w:p>
                  <w:p>
                    <w:pPr>
                      <w:spacing w:line="240" w:lineRule="auto" w:before="0"/>
                      <w:rPr>
                        <w:sz w:val="22"/>
                      </w:rPr>
                    </w:pPr>
                  </w:p>
                  <w:p>
                    <w:pPr>
                      <w:spacing w:line="240" w:lineRule="auto" w:before="0"/>
                      <w:rPr>
                        <w:sz w:val="22"/>
                      </w:rPr>
                    </w:pPr>
                  </w:p>
                  <w:p>
                    <w:pPr>
                      <w:spacing w:line="240" w:lineRule="auto" w:before="0"/>
                      <w:rPr>
                        <w:sz w:val="22"/>
                      </w:rPr>
                    </w:pPr>
                  </w:p>
                  <w:p>
                    <w:pPr>
                      <w:spacing w:line="240" w:lineRule="auto" w:before="0"/>
                      <w:rPr>
                        <w:sz w:val="22"/>
                      </w:rPr>
                    </w:pPr>
                  </w:p>
                  <w:p>
                    <w:pPr>
                      <w:spacing w:line="240" w:lineRule="auto" w:before="0"/>
                      <w:rPr>
                        <w:sz w:val="22"/>
                      </w:rPr>
                    </w:pPr>
                  </w:p>
                  <w:p>
                    <w:pPr>
                      <w:spacing w:line="240" w:lineRule="auto" w:before="0"/>
                      <w:rPr>
                        <w:sz w:val="22"/>
                      </w:rPr>
                    </w:pPr>
                  </w:p>
                  <w:p>
                    <w:pPr>
                      <w:spacing w:line="240" w:lineRule="auto" w:before="0"/>
                      <w:rPr>
                        <w:sz w:val="22"/>
                      </w:rPr>
                    </w:pPr>
                  </w:p>
                  <w:p>
                    <w:pPr>
                      <w:spacing w:line="240" w:lineRule="auto" w:before="0"/>
                      <w:rPr>
                        <w:sz w:val="22"/>
                      </w:rPr>
                    </w:pPr>
                  </w:p>
                  <w:p>
                    <w:pPr>
                      <w:spacing w:line="240" w:lineRule="auto" w:before="0"/>
                      <w:rPr>
                        <w:sz w:val="22"/>
                      </w:rPr>
                    </w:pPr>
                  </w:p>
                  <w:p>
                    <w:pPr>
                      <w:spacing w:line="240" w:lineRule="auto" w:before="0"/>
                      <w:rPr>
                        <w:sz w:val="22"/>
                      </w:rPr>
                    </w:pPr>
                  </w:p>
                  <w:p>
                    <w:pPr>
                      <w:spacing w:line="240" w:lineRule="auto" w:before="6"/>
                      <w:rPr>
                        <w:sz w:val="22"/>
                      </w:rPr>
                    </w:pPr>
                  </w:p>
                  <w:p>
                    <w:pPr>
                      <w:spacing w:line="259" w:lineRule="auto" w:before="0"/>
                      <w:ind w:left="1361" w:right="238" w:hanging="1110"/>
                      <w:jc w:val="left"/>
                      <w:rPr>
                        <w:i/>
                        <w:sz w:val="22"/>
                      </w:rPr>
                    </w:pPr>
                    <w:r>
                      <w:rPr>
                        <w:i/>
                        <w:sz w:val="22"/>
                      </w:rPr>
                      <w:t>Tampons Fibrelite installés dans un stade de la ‘Premier League’</w:t>
                    </w:r>
                  </w:p>
                </w:txbxContent>
              </v:textbox>
              <w10:wrap type="none"/>
            </v:shape>
            <w10:wrap type="none"/>
          </v:group>
        </w:pict>
      </w:r>
      <w:r>
        <w:rPr/>
        <w:t>De la première ligue à la Liga, les architectes et les designers de stade, ont aussi été prompts à comprendre les bénéfices liés à l’utilisation de la technologie composite GRP. Dans les zones de fort passage, comme les caniveaux techniques et les couvertures pour charges lourdes, les tampons en composite peuvent facilement être retirés et replacés et offrent une alternative parfaite aux matériaux traditionnels.</w:t>
      </w:r>
    </w:p>
    <w:p>
      <w:pPr>
        <w:pStyle w:val="BodyText"/>
      </w:pPr>
    </w:p>
    <w:p>
      <w:pPr>
        <w:pStyle w:val="BodyText"/>
        <w:spacing w:line="360" w:lineRule="auto" w:before="147"/>
        <w:ind w:left="100" w:right="114"/>
        <w:jc w:val="both"/>
      </w:pPr>
      <w:r>
        <w:rPr/>
        <w:t>Ayant</w:t>
      </w:r>
      <w:r>
        <w:rPr>
          <w:spacing w:val="-8"/>
        </w:rPr>
        <w:t> </w:t>
      </w:r>
      <w:r>
        <w:rPr/>
        <w:t>travaillé</w:t>
      </w:r>
      <w:r>
        <w:rPr>
          <w:spacing w:val="-8"/>
        </w:rPr>
        <w:t> </w:t>
      </w:r>
      <w:r>
        <w:rPr/>
        <w:t>avec</w:t>
      </w:r>
      <w:r>
        <w:rPr>
          <w:spacing w:val="-8"/>
        </w:rPr>
        <w:t> </w:t>
      </w:r>
      <w:r>
        <w:rPr/>
        <w:t>des</w:t>
      </w:r>
      <w:r>
        <w:rPr>
          <w:spacing w:val="-8"/>
        </w:rPr>
        <w:t> </w:t>
      </w:r>
      <w:r>
        <w:rPr/>
        <w:t>clubs</w:t>
      </w:r>
      <w:r>
        <w:rPr>
          <w:spacing w:val="-9"/>
        </w:rPr>
        <w:t> </w:t>
      </w:r>
      <w:r>
        <w:rPr/>
        <w:t>de</w:t>
      </w:r>
      <w:r>
        <w:rPr>
          <w:spacing w:val="-7"/>
        </w:rPr>
        <w:t> </w:t>
      </w:r>
      <w:r>
        <w:rPr/>
        <w:t>premier</w:t>
      </w:r>
      <w:r>
        <w:rPr>
          <w:spacing w:val="-8"/>
        </w:rPr>
        <w:t> </w:t>
      </w:r>
      <w:r>
        <w:rPr/>
        <w:t>plan</w:t>
      </w:r>
      <w:r>
        <w:rPr>
          <w:spacing w:val="-6"/>
        </w:rPr>
        <w:t> </w:t>
      </w:r>
      <w:r>
        <w:rPr/>
        <w:t>à</w:t>
      </w:r>
      <w:r>
        <w:rPr>
          <w:spacing w:val="-11"/>
        </w:rPr>
        <w:t> </w:t>
      </w:r>
      <w:r>
        <w:rPr/>
        <w:t>travers</w:t>
      </w:r>
      <w:r>
        <w:rPr>
          <w:spacing w:val="-9"/>
        </w:rPr>
        <w:t> </w:t>
      </w:r>
      <w:r>
        <w:rPr/>
        <w:t>le</w:t>
      </w:r>
      <w:r>
        <w:rPr>
          <w:spacing w:val="-7"/>
        </w:rPr>
        <w:t> </w:t>
      </w:r>
      <w:r>
        <w:rPr/>
        <w:t>monde,</w:t>
      </w:r>
      <w:r>
        <w:rPr>
          <w:spacing w:val="-8"/>
        </w:rPr>
        <w:t> </w:t>
      </w:r>
      <w:r>
        <w:rPr/>
        <w:t>Fibrelite</w:t>
      </w:r>
      <w:r>
        <w:rPr>
          <w:spacing w:val="-6"/>
        </w:rPr>
        <w:t> </w:t>
      </w:r>
      <w:r>
        <w:rPr/>
        <w:t>a</w:t>
      </w:r>
      <w:r>
        <w:rPr>
          <w:spacing w:val="-9"/>
        </w:rPr>
        <w:t> </w:t>
      </w:r>
      <w:r>
        <w:rPr/>
        <w:t>des</w:t>
      </w:r>
      <w:r>
        <w:rPr>
          <w:spacing w:val="-8"/>
        </w:rPr>
        <w:t> </w:t>
      </w:r>
      <w:r>
        <w:rPr/>
        <w:t>experts</w:t>
      </w:r>
      <w:r>
        <w:rPr>
          <w:spacing w:val="-8"/>
        </w:rPr>
        <w:t> </w:t>
      </w:r>
      <w:r>
        <w:rPr/>
        <w:t>dans la création de conceptions personnalisées pour correspondre à n’importe quelle application sans entretien, couvertures de tranchées avec des couleurs de club et des logos, pour se fondre</w:t>
      </w:r>
      <w:r>
        <w:rPr>
          <w:spacing w:val="-5"/>
        </w:rPr>
        <w:t> </w:t>
      </w:r>
      <w:r>
        <w:rPr/>
        <w:t>dans</w:t>
      </w:r>
      <w:r>
        <w:rPr>
          <w:spacing w:val="-5"/>
        </w:rPr>
        <w:t> </w:t>
      </w:r>
      <w:r>
        <w:rPr/>
        <w:t>le</w:t>
      </w:r>
      <w:r>
        <w:rPr>
          <w:spacing w:val="-4"/>
        </w:rPr>
        <w:t> </w:t>
      </w:r>
      <w:r>
        <w:rPr/>
        <w:t>terrain</w:t>
      </w:r>
      <w:r>
        <w:rPr>
          <w:spacing w:val="-6"/>
        </w:rPr>
        <w:t> </w:t>
      </w:r>
      <w:r>
        <w:rPr/>
        <w:t>environnant.</w:t>
      </w:r>
      <w:r>
        <w:rPr>
          <w:spacing w:val="-5"/>
        </w:rPr>
        <w:t> </w:t>
      </w:r>
      <w:r>
        <w:rPr/>
        <w:t>Ces</w:t>
      </w:r>
      <w:r>
        <w:rPr>
          <w:spacing w:val="-5"/>
        </w:rPr>
        <w:t> </w:t>
      </w:r>
      <w:r>
        <w:rPr/>
        <w:t>conceptions</w:t>
      </w:r>
      <w:r>
        <w:rPr>
          <w:spacing w:val="-3"/>
        </w:rPr>
        <w:t> </w:t>
      </w:r>
      <w:r>
        <w:rPr/>
        <w:t>sur</w:t>
      </w:r>
      <w:r>
        <w:rPr>
          <w:spacing w:val="-4"/>
        </w:rPr>
        <w:t> </w:t>
      </w:r>
      <w:r>
        <w:rPr/>
        <w:t>mesure</w:t>
      </w:r>
      <w:r>
        <w:rPr>
          <w:spacing w:val="-5"/>
        </w:rPr>
        <w:t> </w:t>
      </w:r>
      <w:r>
        <w:rPr/>
        <w:t>s’adaptent</w:t>
      </w:r>
      <w:r>
        <w:rPr>
          <w:spacing w:val="-3"/>
        </w:rPr>
        <w:t> </w:t>
      </w:r>
      <w:r>
        <w:rPr/>
        <w:t>parfaitement</w:t>
      </w:r>
      <w:r>
        <w:rPr>
          <w:spacing w:val="-4"/>
        </w:rPr>
        <w:t> </w:t>
      </w:r>
      <w:r>
        <w:rPr/>
        <w:t>aux tranchées</w:t>
      </w:r>
      <w:r>
        <w:rPr>
          <w:spacing w:val="-8"/>
        </w:rPr>
        <w:t> </w:t>
      </w:r>
      <w:r>
        <w:rPr/>
        <w:t>existantes</w:t>
      </w:r>
      <w:r>
        <w:rPr>
          <w:spacing w:val="-6"/>
        </w:rPr>
        <w:t> </w:t>
      </w:r>
      <w:r>
        <w:rPr/>
        <w:t>et</w:t>
      </w:r>
      <w:r>
        <w:rPr>
          <w:spacing w:val="-5"/>
        </w:rPr>
        <w:t> </w:t>
      </w:r>
      <w:r>
        <w:rPr/>
        <w:t>sont</w:t>
      </w:r>
      <w:r>
        <w:rPr>
          <w:spacing w:val="-7"/>
        </w:rPr>
        <w:t> </w:t>
      </w:r>
      <w:r>
        <w:rPr/>
        <w:t>antidérapantes,</w:t>
      </w:r>
      <w:r>
        <w:rPr>
          <w:spacing w:val="-9"/>
        </w:rPr>
        <w:t> </w:t>
      </w:r>
      <w:r>
        <w:rPr/>
        <w:t>ce</w:t>
      </w:r>
      <w:r>
        <w:rPr>
          <w:spacing w:val="-7"/>
        </w:rPr>
        <w:t> </w:t>
      </w:r>
      <w:r>
        <w:rPr/>
        <w:t>qui</w:t>
      </w:r>
      <w:r>
        <w:rPr>
          <w:spacing w:val="-6"/>
        </w:rPr>
        <w:t> </w:t>
      </w:r>
      <w:r>
        <w:rPr/>
        <w:t>les</w:t>
      </w:r>
      <w:r>
        <w:rPr>
          <w:spacing w:val="-8"/>
        </w:rPr>
        <w:t> </w:t>
      </w:r>
      <w:r>
        <w:rPr/>
        <w:t>rend</w:t>
      </w:r>
      <w:r>
        <w:rPr>
          <w:spacing w:val="-5"/>
        </w:rPr>
        <w:t> </w:t>
      </w:r>
      <w:r>
        <w:rPr/>
        <w:t>idéales</w:t>
      </w:r>
      <w:r>
        <w:rPr>
          <w:spacing w:val="-8"/>
        </w:rPr>
        <w:t> </w:t>
      </w:r>
      <w:r>
        <w:rPr/>
        <w:t>pour</w:t>
      </w:r>
      <w:r>
        <w:rPr>
          <w:spacing w:val="-6"/>
        </w:rPr>
        <w:t> </w:t>
      </w:r>
      <w:r>
        <w:rPr/>
        <w:t>les</w:t>
      </w:r>
      <w:r>
        <w:rPr>
          <w:spacing w:val="-7"/>
        </w:rPr>
        <w:t> </w:t>
      </w:r>
      <w:r>
        <w:rPr/>
        <w:t>zones</w:t>
      </w:r>
      <w:r>
        <w:rPr>
          <w:spacing w:val="-8"/>
        </w:rPr>
        <w:t> </w:t>
      </w:r>
      <w:r>
        <w:rPr/>
        <w:t>piétonnes.</w:t>
      </w:r>
    </w:p>
    <w:p>
      <w:pPr>
        <w:pStyle w:val="BodyText"/>
      </w:pPr>
    </w:p>
    <w:p>
      <w:pPr>
        <w:pStyle w:val="BodyText"/>
        <w:spacing w:line="360" w:lineRule="auto" w:before="148"/>
        <w:ind w:left="100" w:right="112"/>
        <w:jc w:val="both"/>
      </w:pPr>
      <w:r>
        <w:rPr/>
        <w:t>Préconisées</w:t>
      </w:r>
      <w:r>
        <w:rPr>
          <w:spacing w:val="-10"/>
        </w:rPr>
        <w:t> </w:t>
      </w:r>
      <w:r>
        <w:rPr/>
        <w:t>par</w:t>
      </w:r>
      <w:r>
        <w:rPr>
          <w:spacing w:val="-8"/>
        </w:rPr>
        <w:t> </w:t>
      </w:r>
      <w:r>
        <w:rPr/>
        <w:t>les</w:t>
      </w:r>
      <w:r>
        <w:rPr>
          <w:spacing w:val="-8"/>
        </w:rPr>
        <w:t> </w:t>
      </w:r>
      <w:r>
        <w:rPr/>
        <w:t>grandes</w:t>
      </w:r>
      <w:r>
        <w:rPr>
          <w:spacing w:val="-8"/>
        </w:rPr>
        <w:t> </w:t>
      </w:r>
      <w:r>
        <w:rPr/>
        <w:t>compagnies</w:t>
      </w:r>
      <w:r>
        <w:rPr>
          <w:spacing w:val="-8"/>
        </w:rPr>
        <w:t> </w:t>
      </w:r>
      <w:r>
        <w:rPr/>
        <w:t>pétrolières</w:t>
      </w:r>
      <w:r>
        <w:rPr>
          <w:spacing w:val="-8"/>
        </w:rPr>
        <w:t> </w:t>
      </w:r>
      <w:r>
        <w:rPr/>
        <w:t>du</w:t>
      </w:r>
      <w:r>
        <w:rPr>
          <w:spacing w:val="-8"/>
        </w:rPr>
        <w:t> </w:t>
      </w:r>
      <w:r>
        <w:rPr/>
        <w:t>monde</w:t>
      </w:r>
      <w:r>
        <w:rPr>
          <w:spacing w:val="-8"/>
        </w:rPr>
        <w:t> </w:t>
      </w:r>
      <w:r>
        <w:rPr/>
        <w:t>entier</w:t>
      </w:r>
      <w:r>
        <w:rPr>
          <w:spacing w:val="-11"/>
        </w:rPr>
        <w:t> </w:t>
      </w:r>
      <w:r>
        <w:rPr/>
        <w:t>depuis</w:t>
      </w:r>
      <w:r>
        <w:rPr>
          <w:spacing w:val="-10"/>
        </w:rPr>
        <w:t> </w:t>
      </w:r>
      <w:r>
        <w:rPr/>
        <w:t>les</w:t>
      </w:r>
      <w:r>
        <w:rPr>
          <w:spacing w:val="-8"/>
        </w:rPr>
        <w:t> </w:t>
      </w:r>
      <w:r>
        <w:rPr/>
        <w:t>années</w:t>
      </w:r>
      <w:r>
        <w:rPr>
          <w:spacing w:val="-8"/>
        </w:rPr>
        <w:t> </w:t>
      </w:r>
      <w:r>
        <w:rPr/>
        <w:t>1980, y</w:t>
      </w:r>
      <w:r>
        <w:rPr>
          <w:spacing w:val="-5"/>
        </w:rPr>
        <w:t> </w:t>
      </w:r>
      <w:r>
        <w:rPr/>
        <w:t>compris</w:t>
      </w:r>
      <w:r>
        <w:rPr>
          <w:spacing w:val="-4"/>
        </w:rPr>
        <w:t> </w:t>
      </w:r>
      <w:r>
        <w:rPr/>
        <w:t>localement</w:t>
      </w:r>
      <w:r>
        <w:rPr>
          <w:spacing w:val="-3"/>
        </w:rPr>
        <w:t> </w:t>
      </w:r>
      <w:r>
        <w:rPr/>
        <w:t>:</w:t>
      </w:r>
      <w:r>
        <w:rPr>
          <w:spacing w:val="-6"/>
        </w:rPr>
        <w:t> </w:t>
      </w:r>
      <w:r>
        <w:rPr/>
        <w:t>ExxonMobil,</w:t>
      </w:r>
      <w:r>
        <w:rPr>
          <w:spacing w:val="-6"/>
        </w:rPr>
        <w:t> </w:t>
      </w:r>
      <w:r>
        <w:rPr/>
        <w:t>Total,</w:t>
      </w:r>
      <w:r>
        <w:rPr>
          <w:spacing w:val="-4"/>
        </w:rPr>
        <w:t> </w:t>
      </w:r>
      <w:r>
        <w:rPr/>
        <w:t>ADNOC,</w:t>
      </w:r>
      <w:r>
        <w:rPr>
          <w:spacing w:val="-5"/>
        </w:rPr>
        <w:t> </w:t>
      </w:r>
      <w:r>
        <w:rPr/>
        <w:t>Woqod,</w:t>
      </w:r>
      <w:r>
        <w:rPr>
          <w:spacing w:val="-4"/>
        </w:rPr>
        <w:t> </w:t>
      </w:r>
      <w:r>
        <w:rPr/>
        <w:t>ENOC</w:t>
      </w:r>
      <w:r>
        <w:rPr>
          <w:spacing w:val="-5"/>
        </w:rPr>
        <w:t> </w:t>
      </w:r>
      <w:r>
        <w:rPr/>
        <w:t>et</w:t>
      </w:r>
      <w:r>
        <w:rPr>
          <w:spacing w:val="-2"/>
        </w:rPr>
        <w:t> </w:t>
      </w:r>
      <w:r>
        <w:rPr/>
        <w:t>OiLibya;</w:t>
      </w:r>
      <w:r>
        <w:rPr>
          <w:spacing w:val="-4"/>
        </w:rPr>
        <w:t> </w:t>
      </w:r>
      <w:r>
        <w:rPr/>
        <w:t>Les</w:t>
      </w:r>
      <w:r>
        <w:rPr>
          <w:spacing w:val="-5"/>
        </w:rPr>
        <w:t> </w:t>
      </w:r>
      <w:r>
        <w:rPr/>
        <w:t>couvertures composites haute performance de Fibrelite peuvent être conçues sur mesure pour répondre à toutes les spécifications des installations dédiées de Fibrelite au Royaume-Uni, aux États- Unis et en Asie du Sud-Est. Une conception rapide du processus de livraison et un réseau de distribution local réactif garantissent également des délais d’exécution</w:t>
      </w:r>
      <w:r>
        <w:rPr>
          <w:spacing w:val="-13"/>
        </w:rPr>
        <w:t> </w:t>
      </w:r>
      <w:r>
        <w:rPr/>
        <w:t>rapides.</w:t>
      </w:r>
    </w:p>
    <w:p>
      <w:pPr>
        <w:pStyle w:val="BodyText"/>
        <w:spacing w:line="360" w:lineRule="auto" w:before="1"/>
        <w:ind w:left="100" w:right="115"/>
        <w:jc w:val="both"/>
      </w:pPr>
      <w:r>
        <w:rPr/>
        <w:t>Depuis 2013, </w:t>
      </w:r>
      <w:hyperlink r:id="rId10">
        <w:r>
          <w:rPr/>
          <w:t>Fibrelite</w:t>
        </w:r>
      </w:hyperlink>
      <w:r>
        <w:rPr/>
        <w:t> fait partie d’OPW (une société du groupe Dover</w:t>
      </w:r>
      <w:r>
        <w:rPr>
          <w:sz w:val="22"/>
        </w:rPr>
        <w:t>) </w:t>
      </w:r>
      <w:r>
        <w:rPr/>
        <w:t>permettant à l’entreprise d’offrir un portefeuille sans précédent de produits complémentaires de premier choix.</w:t>
      </w:r>
    </w:p>
    <w:p>
      <w:pPr>
        <w:spacing w:after="0" w:line="360" w:lineRule="auto"/>
        <w:jc w:val="both"/>
        <w:sectPr>
          <w:pgSz w:w="11910" w:h="16840"/>
          <w:pgMar w:header="756" w:footer="1000" w:top="3200" w:bottom="1200" w:left="1340" w:right="1320"/>
        </w:sectPr>
      </w:pPr>
    </w:p>
    <w:p>
      <w:pPr>
        <w:pStyle w:val="BodyText"/>
        <w:rPr>
          <w:sz w:val="20"/>
        </w:rPr>
      </w:pPr>
    </w:p>
    <w:p>
      <w:pPr>
        <w:pStyle w:val="BodyText"/>
        <w:rPr>
          <w:sz w:val="20"/>
        </w:rPr>
      </w:pPr>
    </w:p>
    <w:p>
      <w:pPr>
        <w:pStyle w:val="BodyText"/>
        <w:rPr>
          <w:sz w:val="20"/>
        </w:rPr>
      </w:pPr>
    </w:p>
    <w:p>
      <w:pPr>
        <w:pStyle w:val="BodyText"/>
        <w:rPr>
          <w:sz w:val="19"/>
        </w:rPr>
      </w:pPr>
    </w:p>
    <w:p>
      <w:pPr>
        <w:pStyle w:val="BodyText"/>
        <w:spacing w:line="360" w:lineRule="auto" w:before="51"/>
        <w:ind w:left="100" w:firstLine="55"/>
      </w:pPr>
      <w:r>
        <w:rPr/>
        <w:t>Parcourez les réalisations utilisant nos tampons en composite Fibrelite à travers le globe, </w:t>
      </w:r>
      <w:hyperlink r:id="rId11">
        <w:r>
          <w:rPr>
            <w:color w:val="0462C1"/>
            <w:u w:val="single" w:color="0462C1"/>
          </w:rPr>
          <w:t>consultez nos études de </w:t>
        </w:r>
      </w:hyperlink>
      <w:r>
        <w:rPr>
          <w:color w:val="0462C1"/>
          <w:u w:val="single" w:color="0462C1"/>
        </w:rPr>
        <w:t>cas içi</w:t>
      </w:r>
    </w:p>
    <w:p>
      <w:pPr>
        <w:pStyle w:val="BodyText"/>
        <w:spacing w:before="5"/>
        <w:rPr>
          <w:sz w:val="9"/>
        </w:rPr>
      </w:pPr>
      <w:r>
        <w:rPr/>
        <w:drawing>
          <wp:anchor distT="0" distB="0" distL="0" distR="0" allowOverlap="1" layoutInCell="1" locked="0" behindDoc="0" simplePos="0" relativeHeight="3">
            <wp:simplePos x="0" y="0"/>
            <wp:positionH relativeFrom="page">
              <wp:posOffset>914400</wp:posOffset>
            </wp:positionH>
            <wp:positionV relativeFrom="paragraph">
              <wp:posOffset>98004</wp:posOffset>
            </wp:positionV>
            <wp:extent cx="5760788" cy="3239643"/>
            <wp:effectExtent l="0" t="0" r="0" b="0"/>
            <wp:wrapTopAndBottom/>
            <wp:docPr id="7" name="image5.jpeg"/>
            <wp:cNvGraphicFramePr>
              <a:graphicFrameLocks noChangeAspect="1"/>
            </wp:cNvGraphicFramePr>
            <a:graphic>
              <a:graphicData uri="http://schemas.openxmlformats.org/drawingml/2006/picture">
                <pic:pic>
                  <pic:nvPicPr>
                    <pic:cNvPr id="8" name="image5.jpeg"/>
                    <pic:cNvPicPr/>
                  </pic:nvPicPr>
                  <pic:blipFill>
                    <a:blip r:embed="rId12" cstate="print"/>
                    <a:stretch>
                      <a:fillRect/>
                    </a:stretch>
                  </pic:blipFill>
                  <pic:spPr>
                    <a:xfrm>
                      <a:off x="0" y="0"/>
                      <a:ext cx="5760788" cy="3239643"/>
                    </a:xfrm>
                    <a:prstGeom prst="rect">
                      <a:avLst/>
                    </a:prstGeom>
                  </pic:spPr>
                </pic:pic>
              </a:graphicData>
            </a:graphic>
          </wp:anchor>
        </w:drawing>
      </w:r>
    </w:p>
    <w:p>
      <w:pPr>
        <w:spacing w:before="53"/>
        <w:ind w:left="1091" w:right="1137" w:firstLine="0"/>
        <w:jc w:val="center"/>
        <w:rPr>
          <w:i/>
          <w:sz w:val="22"/>
        </w:rPr>
      </w:pPr>
      <w:r>
        <w:rPr>
          <w:i/>
          <w:sz w:val="22"/>
        </w:rPr>
        <w:t>Couverture de caniveaux Fibrelite installés autour d’un stade de la liga</w:t>
      </w:r>
    </w:p>
    <w:p>
      <w:pPr>
        <w:pStyle w:val="BodyText"/>
        <w:rPr>
          <w:i/>
          <w:sz w:val="20"/>
        </w:rPr>
      </w:pPr>
    </w:p>
    <w:p>
      <w:pPr>
        <w:pStyle w:val="BodyText"/>
        <w:spacing w:before="1"/>
        <w:rPr>
          <w:i/>
          <w:sz w:val="17"/>
        </w:rPr>
      </w:pPr>
    </w:p>
    <w:p>
      <w:pPr>
        <w:pStyle w:val="Heading1"/>
        <w:spacing w:before="52"/>
        <w:jc w:val="left"/>
      </w:pPr>
      <w:r>
        <w:rPr/>
        <w:t>FIN</w:t>
      </w:r>
    </w:p>
    <w:p>
      <w:pPr>
        <w:pStyle w:val="BodyText"/>
        <w:rPr>
          <w:b/>
        </w:rPr>
      </w:pPr>
    </w:p>
    <w:p>
      <w:pPr>
        <w:pStyle w:val="BodyText"/>
        <w:spacing w:before="11"/>
        <w:rPr>
          <w:b/>
          <w:sz w:val="23"/>
        </w:rPr>
      </w:pPr>
    </w:p>
    <w:p>
      <w:pPr>
        <w:spacing w:before="0"/>
        <w:ind w:left="100" w:right="0" w:firstLine="0"/>
        <w:jc w:val="both"/>
        <w:rPr>
          <w:b/>
          <w:sz w:val="24"/>
        </w:rPr>
      </w:pPr>
      <w:r>
        <w:rPr>
          <w:b/>
          <w:sz w:val="24"/>
          <w:u w:val="single"/>
        </w:rPr>
        <w:t>Notes aux Editeurs:</w:t>
      </w:r>
    </w:p>
    <w:p>
      <w:pPr>
        <w:pStyle w:val="BodyText"/>
        <w:spacing w:before="147"/>
        <w:ind w:left="100"/>
        <w:jc w:val="both"/>
      </w:pPr>
      <w:r>
        <w:rPr/>
        <w:t>Images haute définitions disponibles</w:t>
      </w:r>
    </w:p>
    <w:p>
      <w:pPr>
        <w:pStyle w:val="BodyText"/>
        <w:spacing w:before="2"/>
        <w:rPr>
          <w:sz w:val="25"/>
        </w:rPr>
      </w:pPr>
    </w:p>
    <w:p>
      <w:pPr>
        <w:pStyle w:val="Heading1"/>
      </w:pPr>
      <w:r>
        <w:rPr/>
        <w:t>A propos de Fibrelite</w:t>
      </w:r>
    </w:p>
    <w:p>
      <w:pPr>
        <w:pStyle w:val="BodyText"/>
        <w:spacing w:line="360" w:lineRule="auto" w:before="146"/>
        <w:ind w:left="100" w:right="114"/>
        <w:jc w:val="both"/>
      </w:pPr>
      <w:r>
        <w:rPr/>
        <w:t>Fibrelite est un fabricant mondial de tampons composites en plastique renforcé de fibres de verre (GRP), capables de supporter des charges allant jusqu’à 90 tonnes tout en étant suffisamment</w:t>
      </w:r>
      <w:r>
        <w:rPr>
          <w:spacing w:val="-8"/>
        </w:rPr>
        <w:t> </w:t>
      </w:r>
      <w:r>
        <w:rPr/>
        <w:t>légers</w:t>
      </w:r>
      <w:r>
        <w:rPr>
          <w:spacing w:val="-11"/>
        </w:rPr>
        <w:t> </w:t>
      </w:r>
      <w:r>
        <w:rPr/>
        <w:t>pour</w:t>
      </w:r>
      <w:r>
        <w:rPr>
          <w:spacing w:val="-9"/>
        </w:rPr>
        <w:t> </w:t>
      </w:r>
      <w:r>
        <w:rPr/>
        <w:t>être</w:t>
      </w:r>
      <w:r>
        <w:rPr>
          <w:spacing w:val="-8"/>
        </w:rPr>
        <w:t> </w:t>
      </w:r>
      <w:r>
        <w:rPr/>
        <w:t>soulevés</w:t>
      </w:r>
      <w:r>
        <w:rPr>
          <w:spacing w:val="-8"/>
        </w:rPr>
        <w:t> </w:t>
      </w:r>
      <w:r>
        <w:rPr/>
        <w:t>à</w:t>
      </w:r>
      <w:r>
        <w:rPr>
          <w:spacing w:val="-9"/>
        </w:rPr>
        <w:t> </w:t>
      </w:r>
      <w:r>
        <w:rPr/>
        <w:t>la</w:t>
      </w:r>
      <w:r>
        <w:rPr>
          <w:spacing w:val="-8"/>
        </w:rPr>
        <w:t> </w:t>
      </w:r>
      <w:r>
        <w:rPr/>
        <w:t>main</w:t>
      </w:r>
      <w:r>
        <w:rPr>
          <w:spacing w:val="-10"/>
        </w:rPr>
        <w:t> </w:t>
      </w:r>
      <w:r>
        <w:rPr/>
        <w:t>et</w:t>
      </w:r>
      <w:r>
        <w:rPr>
          <w:spacing w:val="-7"/>
        </w:rPr>
        <w:t> </w:t>
      </w:r>
      <w:r>
        <w:rPr/>
        <w:t>est</w:t>
      </w:r>
      <w:r>
        <w:rPr>
          <w:spacing w:val="-7"/>
        </w:rPr>
        <w:t> </w:t>
      </w:r>
      <w:r>
        <w:rPr/>
        <w:t>réputé</w:t>
      </w:r>
      <w:r>
        <w:rPr>
          <w:spacing w:val="-10"/>
        </w:rPr>
        <w:t> </w:t>
      </w:r>
      <w:r>
        <w:rPr/>
        <w:t>pour</w:t>
      </w:r>
      <w:r>
        <w:rPr>
          <w:spacing w:val="-6"/>
        </w:rPr>
        <w:t> </w:t>
      </w:r>
      <w:r>
        <w:rPr/>
        <w:t>support</w:t>
      </w:r>
      <w:r>
        <w:rPr>
          <w:spacing w:val="-7"/>
        </w:rPr>
        <w:t> </w:t>
      </w:r>
      <w:r>
        <w:rPr/>
        <w:t>technique</w:t>
      </w:r>
      <w:r>
        <w:rPr>
          <w:spacing w:val="-8"/>
        </w:rPr>
        <w:t> </w:t>
      </w:r>
      <w:r>
        <w:rPr/>
        <w:t>et</w:t>
      </w:r>
      <w:r>
        <w:rPr>
          <w:spacing w:val="-8"/>
        </w:rPr>
        <w:t> </w:t>
      </w:r>
      <w:r>
        <w:rPr/>
        <w:t>son service de haute</w:t>
      </w:r>
      <w:r>
        <w:rPr>
          <w:spacing w:val="-4"/>
        </w:rPr>
        <w:t> </w:t>
      </w:r>
      <w:r>
        <w:rPr/>
        <w:t>qualité.</w:t>
      </w:r>
    </w:p>
    <w:p>
      <w:pPr>
        <w:spacing w:after="0" w:line="360" w:lineRule="auto"/>
        <w:jc w:val="both"/>
        <w:sectPr>
          <w:pgSz w:w="11910" w:h="16840"/>
          <w:pgMar w:header="756" w:footer="1000" w:top="3200" w:bottom="1200" w:left="1340" w:right="1320"/>
        </w:sectPr>
      </w:pPr>
    </w:p>
    <w:p>
      <w:pPr>
        <w:pStyle w:val="BodyText"/>
        <w:rPr>
          <w:sz w:val="20"/>
        </w:rPr>
      </w:pPr>
    </w:p>
    <w:p>
      <w:pPr>
        <w:pStyle w:val="BodyText"/>
        <w:rPr>
          <w:sz w:val="23"/>
        </w:rPr>
      </w:pPr>
    </w:p>
    <w:p>
      <w:pPr>
        <w:pStyle w:val="BodyText"/>
        <w:spacing w:line="360" w:lineRule="auto" w:before="51"/>
        <w:ind w:left="100" w:right="113"/>
        <w:jc w:val="both"/>
      </w:pPr>
      <w:r>
        <w:rPr/>
        <w:t>Initialement développée il y a près de 40 ans et maintenant standard de l’industrie sur les piste des stations-service, les couvertures fibrelite sont de plus en plus spécifiées pour les travaux</w:t>
      </w:r>
      <w:r>
        <w:rPr>
          <w:spacing w:val="-5"/>
        </w:rPr>
        <w:t> </w:t>
      </w:r>
      <w:r>
        <w:rPr/>
        <w:t>de</w:t>
      </w:r>
      <w:r>
        <w:rPr>
          <w:spacing w:val="-4"/>
        </w:rPr>
        <w:t> </w:t>
      </w:r>
      <w:r>
        <w:rPr/>
        <w:t>rénovation</w:t>
      </w:r>
      <w:r>
        <w:rPr>
          <w:spacing w:val="-3"/>
        </w:rPr>
        <w:t> </w:t>
      </w:r>
      <w:r>
        <w:rPr/>
        <w:t>dans</w:t>
      </w:r>
      <w:r>
        <w:rPr>
          <w:spacing w:val="-4"/>
        </w:rPr>
        <w:t> </w:t>
      </w:r>
      <w:r>
        <w:rPr/>
        <w:t>une</w:t>
      </w:r>
      <w:r>
        <w:rPr>
          <w:spacing w:val="-3"/>
        </w:rPr>
        <w:t> </w:t>
      </w:r>
      <w:r>
        <w:rPr/>
        <w:t>variété</w:t>
      </w:r>
      <w:r>
        <w:rPr>
          <w:spacing w:val="-4"/>
        </w:rPr>
        <w:t> </w:t>
      </w:r>
      <w:r>
        <w:rPr/>
        <w:t>d’industries</w:t>
      </w:r>
      <w:r>
        <w:rPr>
          <w:spacing w:val="-1"/>
        </w:rPr>
        <w:t> </w:t>
      </w:r>
      <w:r>
        <w:rPr/>
        <w:t>dans</w:t>
      </w:r>
      <w:r>
        <w:rPr>
          <w:spacing w:val="-4"/>
        </w:rPr>
        <w:t> </w:t>
      </w:r>
      <w:r>
        <w:rPr/>
        <w:t>plus</w:t>
      </w:r>
      <w:r>
        <w:rPr>
          <w:spacing w:val="-4"/>
        </w:rPr>
        <w:t> </w:t>
      </w:r>
      <w:r>
        <w:rPr/>
        <w:t>de</w:t>
      </w:r>
      <w:r>
        <w:rPr>
          <w:spacing w:val="-3"/>
        </w:rPr>
        <w:t> </w:t>
      </w:r>
      <w:r>
        <w:rPr/>
        <w:t>80</w:t>
      </w:r>
      <w:r>
        <w:rPr>
          <w:spacing w:val="-2"/>
        </w:rPr>
        <w:t> </w:t>
      </w:r>
      <w:r>
        <w:rPr/>
        <w:t>pays</w:t>
      </w:r>
      <w:r>
        <w:rPr>
          <w:spacing w:val="-5"/>
        </w:rPr>
        <w:t> </w:t>
      </w:r>
      <w:r>
        <w:rPr/>
        <w:t>à</w:t>
      </w:r>
      <w:r>
        <w:rPr>
          <w:spacing w:val="-4"/>
        </w:rPr>
        <w:t> </w:t>
      </w:r>
      <w:r>
        <w:rPr/>
        <w:t>travers</w:t>
      </w:r>
      <w:r>
        <w:rPr>
          <w:spacing w:val="-2"/>
        </w:rPr>
        <w:t> </w:t>
      </w:r>
      <w:r>
        <w:rPr/>
        <w:t>le</w:t>
      </w:r>
      <w:r>
        <w:rPr>
          <w:spacing w:val="-1"/>
        </w:rPr>
        <w:t> </w:t>
      </w:r>
      <w:r>
        <w:rPr/>
        <w:t>monde. Pour en savoir plus, veuillez visiter</w:t>
      </w:r>
      <w:r>
        <w:rPr>
          <w:spacing w:val="-5"/>
        </w:rPr>
        <w:t> </w:t>
      </w:r>
      <w:hyperlink r:id="rId13">
        <w:r>
          <w:rPr>
            <w:color w:val="0462C1"/>
            <w:u w:val="single" w:color="0462C1"/>
          </w:rPr>
          <w:t>www.fibrelite.com</w:t>
        </w:r>
      </w:hyperlink>
    </w:p>
    <w:p>
      <w:pPr>
        <w:pStyle w:val="BodyText"/>
        <w:rPr>
          <w:sz w:val="20"/>
        </w:rPr>
      </w:pPr>
    </w:p>
    <w:p>
      <w:pPr>
        <w:pStyle w:val="BodyText"/>
        <w:spacing w:line="360" w:lineRule="auto" w:before="198"/>
        <w:ind w:left="100"/>
      </w:pPr>
      <w:r>
        <w:rPr/>
        <w:t>Pour de plus amples informations, veuillez contacter : Jo Stott (</w:t>
      </w:r>
      <w:hyperlink r:id="rId14">
        <w:r>
          <w:rPr>
            <w:color w:val="0462C1"/>
            <w:u w:val="single" w:color="0462C1"/>
          </w:rPr>
          <w:t>jostott@fibrelite.com</w:t>
        </w:r>
        <w:r>
          <w:rPr>
            <w:color w:val="0462C1"/>
          </w:rPr>
          <w:t> </w:t>
        </w:r>
      </w:hyperlink>
      <w:r>
        <w:rPr/>
        <w:t>+44 (0) 1756 799773)</w:t>
      </w:r>
    </w:p>
    <w:p>
      <w:pPr>
        <w:pStyle w:val="BodyText"/>
        <w:spacing w:before="160"/>
        <w:ind w:left="100"/>
      </w:pPr>
      <w:r>
        <w:rPr/>
        <w:t>Fibrelite; Snaygill Industrial Estate; Keighley Road; Skipton; North Yorkshire BD23 2QR</w:t>
      </w:r>
    </w:p>
    <w:sectPr>
      <w:pgSz w:w="11910" w:h="16840"/>
      <w:pgMar w:header="756" w:footer="1000" w:top="3200" w:bottom="1200" w:left="134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BoldItalic">
    <w:altName w:val="Calibri-BoldItalic"/>
    <w:charset w:val="0"/>
    <w:family w:val="swiss"/>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73.100006pt;margin-top:780.895996pt;width:54.4pt;height:13.05pt;mso-position-horizontal-relative:page;mso-position-vertical-relative:page;z-index:-15797248" type="#_x0000_t202" filled="false" stroked="false">
          <v:textbox inset="0,0,0,0">
            <w:txbxContent>
              <w:p>
                <w:pPr>
                  <w:spacing w:line="245" w:lineRule="exact" w:before="0"/>
                  <w:ind w:left="20" w:right="0" w:firstLine="0"/>
                  <w:jc w:val="left"/>
                  <w:rPr>
                    <w:sz w:val="22"/>
                  </w:rPr>
                </w:pPr>
                <w:r>
                  <w:rPr>
                    <w:color w:val="585858"/>
                    <w:sz w:val="22"/>
                  </w:rPr>
                  <w:t>Page </w:t>
                </w:r>
                <w:r>
                  <w:rPr/>
                  <w:fldChar w:fldCharType="begin"/>
                </w:r>
                <w:r>
                  <w:rPr>
                    <w:color w:val="585858"/>
                    <w:sz w:val="22"/>
                  </w:rPr>
                  <w:instrText> PAGE </w:instrText>
                </w:r>
                <w:r>
                  <w:rPr/>
                  <w:fldChar w:fldCharType="separate"/>
                </w:r>
                <w:r>
                  <w:rPr/>
                  <w:t>1</w:t>
                </w:r>
                <w:r>
                  <w:rPr/>
                  <w:fldChar w:fldCharType="end"/>
                </w:r>
                <w:r>
                  <w:rPr>
                    <w:color w:val="585858"/>
                    <w:sz w:val="22"/>
                  </w:rPr>
                  <w:t> of 5</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87518208">
          <wp:simplePos x="0" y="0"/>
          <wp:positionH relativeFrom="page">
            <wp:posOffset>2694304</wp:posOffset>
          </wp:positionH>
          <wp:positionV relativeFrom="page">
            <wp:posOffset>1751964</wp:posOffset>
          </wp:positionV>
          <wp:extent cx="2170430" cy="285115"/>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1" cstate="print"/>
                  <a:stretch>
                    <a:fillRect/>
                  </a:stretch>
                </pic:blipFill>
                <pic:spPr>
                  <a:xfrm>
                    <a:off x="0" y="0"/>
                    <a:ext cx="2170430" cy="285115"/>
                  </a:xfrm>
                  <a:prstGeom prst="rect">
                    <a:avLst/>
                  </a:prstGeom>
                </pic:spPr>
              </pic:pic>
            </a:graphicData>
          </a:graphic>
        </wp:anchor>
      </w:drawing>
    </w:r>
    <w:r>
      <w:rPr/>
      <w:pict>
        <v:shapetype id="_x0000_t202" o:spt="202" coordsize="21600,21600" path="m,l,21600r21600,l21600,xe">
          <v:stroke joinstyle="miter"/>
          <v:path gradientshapeok="t" o:connecttype="rect"/>
        </v:shapetype>
        <v:shape style="position:absolute;margin-left:71.024002pt;margin-top:36.799984pt;width:293.5pt;height:72.7pt;mso-position-horizontal-relative:page;mso-position-vertical-relative:page;z-index:-15797760" type="#_x0000_t202" filled="false" stroked="false">
          <v:textbox inset="0,0,0,0">
            <w:txbxContent>
              <w:p>
                <w:pPr>
                  <w:spacing w:line="264" w:lineRule="exact" w:before="0"/>
                  <w:ind w:left="20" w:right="0" w:firstLine="0"/>
                  <w:jc w:val="left"/>
                  <w:rPr>
                    <w:rFonts w:ascii="Calibri-BoldItalic"/>
                    <w:b/>
                    <w:i/>
                    <w:sz w:val="24"/>
                  </w:rPr>
                </w:pPr>
                <w:r>
                  <w:rPr>
                    <w:rFonts w:ascii="Calibri-BoldItalic"/>
                    <w:b/>
                    <w:i/>
                    <w:sz w:val="24"/>
                  </w:rPr>
                  <w:t>Press Release</w:t>
                </w:r>
              </w:p>
              <w:p>
                <w:pPr>
                  <w:spacing w:line="240" w:lineRule="auto" w:before="0"/>
                  <w:ind w:left="20" w:right="4072" w:firstLine="0"/>
                  <w:jc w:val="left"/>
                  <w:rPr>
                    <w:i/>
                    <w:sz w:val="24"/>
                  </w:rPr>
                </w:pPr>
                <w:r>
                  <w:rPr>
                    <w:i/>
                    <w:sz w:val="24"/>
                  </w:rPr>
                  <w:t>Release Date: TBC Region: ME Market: C&amp;I</w:t>
                </w:r>
              </w:p>
              <w:p>
                <w:pPr>
                  <w:spacing w:before="2"/>
                  <w:ind w:left="20" w:right="0" w:firstLine="0"/>
                  <w:jc w:val="left"/>
                  <w:rPr>
                    <w:i/>
                    <w:sz w:val="24"/>
                  </w:rPr>
                </w:pPr>
                <w:r>
                  <w:rPr>
                    <w:i/>
                    <w:sz w:val="24"/>
                  </w:rPr>
                  <w:t>Target: ME Construction &amp; Infrastructure Trade Publications</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fr-FR" w:eastAsia="en-US" w:bidi="ar-SA"/>
    </w:rPr>
  </w:style>
  <w:style w:styleId="BodyText" w:type="paragraph">
    <w:name w:val="Body Text"/>
    <w:basedOn w:val="Normal"/>
    <w:uiPriority w:val="1"/>
    <w:qFormat/>
    <w:pPr/>
    <w:rPr>
      <w:rFonts w:ascii="Calibri" w:hAnsi="Calibri" w:eastAsia="Calibri" w:cs="Calibri"/>
      <w:sz w:val="24"/>
      <w:szCs w:val="24"/>
      <w:lang w:val="fr-FR" w:eastAsia="en-US" w:bidi="ar-SA"/>
    </w:rPr>
  </w:style>
  <w:style w:styleId="Heading1" w:type="paragraph">
    <w:name w:val="Heading 1"/>
    <w:basedOn w:val="Normal"/>
    <w:uiPriority w:val="1"/>
    <w:qFormat/>
    <w:pPr>
      <w:ind w:left="100"/>
      <w:jc w:val="both"/>
      <w:outlineLvl w:val="1"/>
    </w:pPr>
    <w:rPr>
      <w:rFonts w:ascii="Calibri" w:hAnsi="Calibri" w:eastAsia="Calibri" w:cs="Calibri"/>
      <w:b/>
      <w:bCs/>
      <w:sz w:val="24"/>
      <w:szCs w:val="24"/>
      <w:lang w:val="fr-FR" w:eastAsia="en-US" w:bidi="ar-SA"/>
    </w:rPr>
  </w:style>
  <w:style w:styleId="Title" w:type="paragraph">
    <w:name w:val="Title"/>
    <w:basedOn w:val="Normal"/>
    <w:uiPriority w:val="1"/>
    <w:qFormat/>
    <w:pPr>
      <w:spacing w:before="28"/>
      <w:ind w:left="695"/>
    </w:pPr>
    <w:rPr>
      <w:rFonts w:ascii="Calibri" w:hAnsi="Calibri" w:eastAsia="Calibri" w:cs="Calibri"/>
      <w:b/>
      <w:bCs/>
      <w:sz w:val="36"/>
      <w:szCs w:val="36"/>
      <w:lang w:val="fr-FR" w:eastAsia="en-US" w:bidi="ar-SA"/>
    </w:rPr>
  </w:style>
  <w:style w:styleId="ListParagraph" w:type="paragraph">
    <w:name w:val="List Paragraph"/>
    <w:basedOn w:val="Normal"/>
    <w:uiPriority w:val="1"/>
    <w:qFormat/>
    <w:pPr/>
    <w:rPr>
      <w:lang w:val="fr-FR" w:eastAsia="en-US" w:bidi="ar-SA"/>
    </w:rPr>
  </w:style>
  <w:style w:styleId="TableParagraph" w:type="paragraph">
    <w:name w:val="Table Paragraph"/>
    <w:basedOn w:val="Normal"/>
    <w:uiPriority w:val="1"/>
    <w:qFormat/>
    <w:pPr/>
    <w:rPr>
      <w:lang w:val="fr-FR"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2.jpeg"/><Relationship Id="rId8" Type="http://schemas.openxmlformats.org/officeDocument/2006/relationships/image" Target="media/image3.jpeg"/><Relationship Id="rId9" Type="http://schemas.openxmlformats.org/officeDocument/2006/relationships/image" Target="media/image4.jpeg"/><Relationship Id="rId10" Type="http://schemas.openxmlformats.org/officeDocument/2006/relationships/hyperlink" Target="https://www.fibrelite.com/?utm_source=Load%20Bearing%20Access%20Covers%20Are%20Going%20Lightweight&amp;utm_medium=Press%20Release" TargetMode="External"/><Relationship Id="rId11" Type="http://schemas.openxmlformats.org/officeDocument/2006/relationships/hyperlink" Target="https://www.fibrelite.com/all-case-studies/?utm_source=Load%20Bearing%20Access%20Covers%20Are%20Going%20Lightweight&amp;utm_medium=Press%20Release" TargetMode="External"/><Relationship Id="rId12" Type="http://schemas.openxmlformats.org/officeDocument/2006/relationships/image" Target="media/image5.jpeg"/><Relationship Id="rId13" Type="http://schemas.openxmlformats.org/officeDocument/2006/relationships/hyperlink" Target="http://www.fibrelite.com/" TargetMode="External"/><Relationship Id="rId14" Type="http://schemas.openxmlformats.org/officeDocument/2006/relationships/hyperlink" Target="mailto:jostott@fibrelit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Mcconkey, Aaron</dc:creator>
  <dcterms:created xsi:type="dcterms:W3CDTF">2020-10-28T15:03:36Z</dcterms:created>
  <dcterms:modified xsi:type="dcterms:W3CDTF">2020-10-28T15:03:36Z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2020-10-16T00:00:00Z</vt:filetime>
  </property>
  <property fmtid="{D5CDD505-2E9C-101B-9397-08002B2CF9AE}" pid="3" name="Creator">
    <vt:lpwstr>Microsoft® Word pour Office 365</vt:lpwstr>
  </property>
  <property fmtid="{D5CDD505-2E9C-101B-9397-08002B2CF9AE}" pid="4" name="LastSaved">
    <vt:filetime>2020-10-28T00:00:00Z</vt:filetime>
  </property>
</Properties>
</file>